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B1" w:rsidRPr="00A92AB1" w:rsidRDefault="00A92AB1" w:rsidP="00A92AB1">
      <w:pPr>
        <w:shd w:val="clear" w:color="auto" w:fill="FFFFFF"/>
        <w:spacing w:after="0" w:line="525" w:lineRule="atLeast"/>
        <w:outlineLvl w:val="0"/>
        <w:rPr>
          <w:rFonts w:ascii="Arial" w:eastAsia="Times New Roman" w:hAnsi="Arial" w:cs="Arial"/>
          <w:b/>
          <w:bCs/>
          <w:color w:val="000000"/>
          <w:spacing w:val="1"/>
          <w:kern w:val="36"/>
          <w:sz w:val="38"/>
          <w:szCs w:val="38"/>
          <w:lang w:eastAsia="ru-RU"/>
        </w:rPr>
      </w:pPr>
      <w:proofErr w:type="gramStart"/>
      <w:r w:rsidRPr="00A92AB1">
        <w:rPr>
          <w:rFonts w:ascii="Arial" w:eastAsia="Times New Roman" w:hAnsi="Arial" w:cs="Arial"/>
          <w:b/>
          <w:bCs/>
          <w:color w:val="000000"/>
          <w:spacing w:val="1"/>
          <w:kern w:val="36"/>
          <w:sz w:val="38"/>
          <w:szCs w:val="38"/>
          <w:lang w:eastAsia="ru-RU"/>
        </w:rPr>
        <w:t>Закон по патенту</w:t>
      </w:r>
      <w:proofErr w:type="gramEnd"/>
      <w:r w:rsidRPr="00A92AB1">
        <w:rPr>
          <w:rFonts w:ascii="Arial" w:eastAsia="Times New Roman" w:hAnsi="Arial" w:cs="Arial"/>
          <w:b/>
          <w:bCs/>
          <w:color w:val="000000"/>
          <w:spacing w:val="1"/>
          <w:kern w:val="36"/>
          <w:sz w:val="38"/>
          <w:szCs w:val="38"/>
          <w:lang w:eastAsia="ru-RU"/>
        </w:rPr>
        <w:t xml:space="preserve"> по Калининградской области с 2021 года</w:t>
      </w:r>
    </w:p>
    <w:p w:rsidR="00A92AB1" w:rsidRPr="00A92AB1" w:rsidRDefault="00A92AB1" w:rsidP="00A92AB1">
      <w:pPr>
        <w:shd w:val="clear" w:color="auto" w:fill="FFFFFF"/>
        <w:spacing w:after="0" w:line="240" w:lineRule="auto"/>
        <w:rPr>
          <w:rFonts w:ascii="Arial" w:eastAsia="Times New Roman" w:hAnsi="Arial" w:cs="Arial"/>
          <w:color w:val="BDBDBD"/>
          <w:spacing w:val="1"/>
          <w:sz w:val="24"/>
          <w:szCs w:val="24"/>
          <w:lang w:eastAsia="ru-RU"/>
        </w:rPr>
      </w:pPr>
      <w:r w:rsidRPr="00A92AB1">
        <w:rPr>
          <w:rFonts w:ascii="Arial" w:eastAsia="Times New Roman" w:hAnsi="Arial" w:cs="Arial"/>
          <w:color w:val="BDBDBD"/>
          <w:spacing w:val="1"/>
          <w:sz w:val="24"/>
          <w:szCs w:val="24"/>
          <w:lang w:eastAsia="ru-RU"/>
        </w:rPr>
        <w:t>24.11.2020</w:t>
      </w:r>
    </w:p>
    <w:p w:rsidR="00A92AB1" w:rsidRPr="00A92AB1" w:rsidRDefault="00A92AB1" w:rsidP="00A92AB1">
      <w:pPr>
        <w:shd w:val="clear" w:color="auto" w:fill="FFFFFF"/>
        <w:spacing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Калининградская областная Дума 23 ноября 2020г. приняла давно ожидаемые предпринимателями Калининградской области поправки в Закон Калининградской области «О введении патентной системы налогообложения на территории Калининградской области». </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Огромное количество предпринимателей Калининградской области, которые пока еще работают на ЕНВД, могут спокойно выдохнуть. Им не придется закрывать бизнес - поправки позволят ИП-</w:t>
      </w:r>
      <w:proofErr w:type="spellStart"/>
      <w:r w:rsidRPr="00A92AB1">
        <w:rPr>
          <w:rFonts w:ascii="Arial" w:eastAsia="Times New Roman" w:hAnsi="Arial" w:cs="Arial"/>
          <w:color w:val="000000"/>
          <w:spacing w:val="1"/>
          <w:sz w:val="24"/>
          <w:szCs w:val="24"/>
          <w:lang w:eastAsia="ru-RU"/>
        </w:rPr>
        <w:t>шникам</w:t>
      </w:r>
      <w:proofErr w:type="spellEnd"/>
      <w:r w:rsidRPr="00A92AB1">
        <w:rPr>
          <w:rFonts w:ascii="Arial" w:eastAsia="Times New Roman" w:hAnsi="Arial" w:cs="Arial"/>
          <w:color w:val="000000"/>
          <w:spacing w:val="1"/>
          <w:sz w:val="24"/>
          <w:szCs w:val="24"/>
          <w:lang w:eastAsia="ru-RU"/>
        </w:rPr>
        <w:t xml:space="preserve"> применять с 1 января 2021 года применять ПСН </w:t>
      </w:r>
      <w:proofErr w:type="gramStart"/>
      <w:r w:rsidRPr="00A92AB1">
        <w:rPr>
          <w:rFonts w:ascii="Arial" w:eastAsia="Times New Roman" w:hAnsi="Arial" w:cs="Arial"/>
          <w:color w:val="000000"/>
          <w:spacing w:val="1"/>
          <w:sz w:val="24"/>
          <w:szCs w:val="24"/>
          <w:lang w:eastAsia="ru-RU"/>
        </w:rPr>
        <w:t>вместо</w:t>
      </w:r>
      <w:proofErr w:type="gramEnd"/>
      <w:r w:rsidRPr="00A92AB1">
        <w:rPr>
          <w:rFonts w:ascii="Arial" w:eastAsia="Times New Roman" w:hAnsi="Arial" w:cs="Arial"/>
          <w:color w:val="000000"/>
          <w:spacing w:val="1"/>
          <w:sz w:val="24"/>
          <w:szCs w:val="24"/>
          <w:lang w:eastAsia="ru-RU"/>
        </w:rPr>
        <w:t xml:space="preserve"> отмененного ЕНВД. И самое главное, налоговая нагрузка на бизнес будет сопоставима с налоговой нагрузкой при применении </w:t>
      </w:r>
      <w:proofErr w:type="spellStart"/>
      <w:r w:rsidRPr="00A92AB1">
        <w:rPr>
          <w:rFonts w:ascii="Arial" w:eastAsia="Times New Roman" w:hAnsi="Arial" w:cs="Arial"/>
          <w:color w:val="000000"/>
          <w:spacing w:val="1"/>
          <w:sz w:val="24"/>
          <w:szCs w:val="24"/>
          <w:lang w:eastAsia="ru-RU"/>
        </w:rPr>
        <w:t>вмененки</w:t>
      </w:r>
      <w:proofErr w:type="spellEnd"/>
      <w:r w:rsidRPr="00A92AB1">
        <w:rPr>
          <w:rFonts w:ascii="Arial" w:eastAsia="Times New Roman" w:hAnsi="Arial" w:cs="Arial"/>
          <w:color w:val="000000"/>
          <w:spacing w:val="1"/>
          <w:sz w:val="24"/>
          <w:szCs w:val="24"/>
          <w:lang w:eastAsia="ru-RU"/>
        </w:rPr>
        <w:t>, что делает патент реальной заменой ЕНВД с 2021 года. </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Расскажем об основных поправках подробнее.</w:t>
      </w:r>
    </w:p>
    <w:p w:rsidR="00A92AB1" w:rsidRPr="00A92AB1" w:rsidRDefault="00A92AB1" w:rsidP="00A92AB1">
      <w:pPr>
        <w:shd w:val="clear" w:color="auto" w:fill="FFFFFF"/>
        <w:spacing w:before="225" w:after="225" w:line="480" w:lineRule="atLeast"/>
        <w:outlineLvl w:val="2"/>
        <w:rPr>
          <w:rFonts w:ascii="Arial" w:eastAsia="Times New Roman" w:hAnsi="Arial" w:cs="Arial"/>
          <w:b/>
          <w:bCs/>
          <w:color w:val="000000"/>
          <w:spacing w:val="1"/>
          <w:sz w:val="33"/>
          <w:szCs w:val="33"/>
          <w:lang w:eastAsia="ru-RU"/>
        </w:rPr>
      </w:pPr>
      <w:r w:rsidRPr="00A92AB1">
        <w:rPr>
          <w:rFonts w:ascii="Arial" w:eastAsia="Times New Roman" w:hAnsi="Arial" w:cs="Arial"/>
          <w:b/>
          <w:bCs/>
          <w:color w:val="000000"/>
          <w:spacing w:val="1"/>
          <w:sz w:val="33"/>
          <w:szCs w:val="33"/>
          <w:lang w:eastAsia="ru-RU"/>
        </w:rPr>
        <w:t>Дифференциация территорий Калининградской области</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Калининградская область для целей применения патентной системы налогообложения разбита на 4 группы. В основу этой дифференциации заложены покупательская способность населения и удаленность от областного центра, которые напрямую влияют на условия ведения бизнеса на этих территориях.</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Все муниципальные образования Калининградской области разбиты по следующим группам:</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b/>
          <w:bCs/>
          <w:color w:val="000000"/>
          <w:spacing w:val="1"/>
          <w:sz w:val="24"/>
          <w:szCs w:val="24"/>
          <w:lang w:eastAsia="ru-RU"/>
        </w:rPr>
        <w:t>1-я группа </w:t>
      </w:r>
      <w:r w:rsidRPr="00A92AB1">
        <w:rPr>
          <w:rFonts w:ascii="Arial" w:eastAsia="Times New Roman" w:hAnsi="Arial" w:cs="Arial"/>
          <w:color w:val="000000"/>
          <w:spacing w:val="1"/>
          <w:sz w:val="24"/>
          <w:szCs w:val="24"/>
          <w:lang w:eastAsia="ru-RU"/>
        </w:rPr>
        <w:t xml:space="preserve">– городской округ «Город Калининград», </w:t>
      </w:r>
      <w:proofErr w:type="spellStart"/>
      <w:r w:rsidRPr="00A92AB1">
        <w:rPr>
          <w:rFonts w:ascii="Arial" w:eastAsia="Times New Roman" w:hAnsi="Arial" w:cs="Arial"/>
          <w:color w:val="000000"/>
          <w:spacing w:val="1"/>
          <w:sz w:val="24"/>
          <w:szCs w:val="24"/>
          <w:lang w:eastAsia="ru-RU"/>
        </w:rPr>
        <w:t>Гурьевский</w:t>
      </w:r>
      <w:proofErr w:type="spellEnd"/>
      <w:r w:rsidRPr="00A92AB1">
        <w:rPr>
          <w:rFonts w:ascii="Arial" w:eastAsia="Times New Roman" w:hAnsi="Arial" w:cs="Arial"/>
          <w:color w:val="000000"/>
          <w:spacing w:val="1"/>
          <w:sz w:val="24"/>
          <w:szCs w:val="24"/>
          <w:lang w:eastAsia="ru-RU"/>
        </w:rPr>
        <w:t xml:space="preserve"> городской округ, Светлогорский городской округ;</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b/>
          <w:bCs/>
          <w:color w:val="000000"/>
          <w:spacing w:val="1"/>
          <w:sz w:val="24"/>
          <w:szCs w:val="24"/>
          <w:lang w:eastAsia="ru-RU"/>
        </w:rPr>
        <w:t>2-я группа</w:t>
      </w:r>
      <w:r w:rsidRPr="00A92AB1">
        <w:rPr>
          <w:rFonts w:ascii="Arial" w:eastAsia="Times New Roman" w:hAnsi="Arial" w:cs="Arial"/>
          <w:color w:val="000000"/>
          <w:spacing w:val="1"/>
          <w:sz w:val="24"/>
          <w:szCs w:val="24"/>
          <w:lang w:eastAsia="ru-RU"/>
        </w:rPr>
        <w:t xml:space="preserve"> – </w:t>
      </w:r>
      <w:proofErr w:type="spellStart"/>
      <w:r w:rsidRPr="00A92AB1">
        <w:rPr>
          <w:rFonts w:ascii="Arial" w:eastAsia="Times New Roman" w:hAnsi="Arial" w:cs="Arial"/>
          <w:color w:val="000000"/>
          <w:spacing w:val="1"/>
          <w:sz w:val="24"/>
          <w:szCs w:val="24"/>
          <w:lang w:eastAsia="ru-RU"/>
        </w:rPr>
        <w:t>Гусевский</w:t>
      </w:r>
      <w:proofErr w:type="spellEnd"/>
      <w:r w:rsidRPr="00A92AB1">
        <w:rPr>
          <w:rFonts w:ascii="Arial" w:eastAsia="Times New Roman" w:hAnsi="Arial" w:cs="Arial"/>
          <w:color w:val="000000"/>
          <w:spacing w:val="1"/>
          <w:sz w:val="24"/>
          <w:szCs w:val="24"/>
          <w:lang w:eastAsia="ru-RU"/>
        </w:rPr>
        <w:t xml:space="preserve"> городской округ, Зеленоградский городской округ, Пионерский городской округ, </w:t>
      </w:r>
      <w:proofErr w:type="spellStart"/>
      <w:r w:rsidRPr="00A92AB1">
        <w:rPr>
          <w:rFonts w:ascii="Arial" w:eastAsia="Times New Roman" w:hAnsi="Arial" w:cs="Arial"/>
          <w:color w:val="000000"/>
          <w:spacing w:val="1"/>
          <w:sz w:val="24"/>
          <w:szCs w:val="24"/>
          <w:lang w:eastAsia="ru-RU"/>
        </w:rPr>
        <w:t>Светловский</w:t>
      </w:r>
      <w:proofErr w:type="spellEnd"/>
      <w:r w:rsidRPr="00A92AB1">
        <w:rPr>
          <w:rFonts w:ascii="Arial" w:eastAsia="Times New Roman" w:hAnsi="Arial" w:cs="Arial"/>
          <w:color w:val="000000"/>
          <w:spacing w:val="1"/>
          <w:sz w:val="24"/>
          <w:szCs w:val="24"/>
          <w:lang w:eastAsia="ru-RU"/>
        </w:rPr>
        <w:t xml:space="preserve"> городской округ, Янтарный городской округ;</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b/>
          <w:bCs/>
          <w:color w:val="000000"/>
          <w:spacing w:val="1"/>
          <w:sz w:val="24"/>
          <w:szCs w:val="24"/>
          <w:lang w:eastAsia="ru-RU"/>
        </w:rPr>
        <w:t>3-я группа</w:t>
      </w:r>
      <w:r w:rsidRPr="00A92AB1">
        <w:rPr>
          <w:rFonts w:ascii="Arial" w:eastAsia="Times New Roman" w:hAnsi="Arial" w:cs="Arial"/>
          <w:color w:val="000000"/>
          <w:spacing w:val="1"/>
          <w:sz w:val="24"/>
          <w:szCs w:val="24"/>
          <w:lang w:eastAsia="ru-RU"/>
        </w:rPr>
        <w:t xml:space="preserve"> - Багратионовский городской округ, Балтийский городской округ, Гвардейский городской округ, </w:t>
      </w:r>
      <w:proofErr w:type="spellStart"/>
      <w:r w:rsidRPr="00A92AB1">
        <w:rPr>
          <w:rFonts w:ascii="Arial" w:eastAsia="Times New Roman" w:hAnsi="Arial" w:cs="Arial"/>
          <w:color w:val="000000"/>
          <w:spacing w:val="1"/>
          <w:sz w:val="24"/>
          <w:szCs w:val="24"/>
          <w:lang w:eastAsia="ru-RU"/>
        </w:rPr>
        <w:t>Ладушкинский</w:t>
      </w:r>
      <w:proofErr w:type="spellEnd"/>
      <w:r w:rsidRPr="00A92AB1">
        <w:rPr>
          <w:rFonts w:ascii="Arial" w:eastAsia="Times New Roman" w:hAnsi="Arial" w:cs="Arial"/>
          <w:color w:val="000000"/>
          <w:spacing w:val="1"/>
          <w:sz w:val="24"/>
          <w:szCs w:val="24"/>
          <w:lang w:eastAsia="ru-RU"/>
        </w:rPr>
        <w:t xml:space="preserve"> городской округ, </w:t>
      </w:r>
      <w:proofErr w:type="spellStart"/>
      <w:r w:rsidRPr="00A92AB1">
        <w:rPr>
          <w:rFonts w:ascii="Arial" w:eastAsia="Times New Roman" w:hAnsi="Arial" w:cs="Arial"/>
          <w:color w:val="000000"/>
          <w:spacing w:val="1"/>
          <w:sz w:val="24"/>
          <w:szCs w:val="24"/>
          <w:lang w:eastAsia="ru-RU"/>
        </w:rPr>
        <w:t>Мамоновский</w:t>
      </w:r>
      <w:proofErr w:type="spellEnd"/>
      <w:r w:rsidRPr="00A92AB1">
        <w:rPr>
          <w:rFonts w:ascii="Arial" w:eastAsia="Times New Roman" w:hAnsi="Arial" w:cs="Arial"/>
          <w:color w:val="000000"/>
          <w:spacing w:val="1"/>
          <w:sz w:val="24"/>
          <w:szCs w:val="24"/>
          <w:lang w:eastAsia="ru-RU"/>
        </w:rPr>
        <w:t xml:space="preserve"> городской округ, </w:t>
      </w:r>
      <w:proofErr w:type="spellStart"/>
      <w:r w:rsidRPr="00A92AB1">
        <w:rPr>
          <w:rFonts w:ascii="Arial" w:eastAsia="Times New Roman" w:hAnsi="Arial" w:cs="Arial"/>
          <w:color w:val="000000"/>
          <w:spacing w:val="1"/>
          <w:sz w:val="24"/>
          <w:szCs w:val="24"/>
          <w:lang w:eastAsia="ru-RU"/>
        </w:rPr>
        <w:t>Полесский</w:t>
      </w:r>
      <w:proofErr w:type="spellEnd"/>
      <w:r w:rsidRPr="00A92AB1">
        <w:rPr>
          <w:rFonts w:ascii="Arial" w:eastAsia="Times New Roman" w:hAnsi="Arial" w:cs="Arial"/>
          <w:color w:val="000000"/>
          <w:spacing w:val="1"/>
          <w:sz w:val="24"/>
          <w:szCs w:val="24"/>
          <w:lang w:eastAsia="ru-RU"/>
        </w:rPr>
        <w:t xml:space="preserve"> городской округ, Советский городской округ, Черняховский городской округ;</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b/>
          <w:bCs/>
          <w:color w:val="000000"/>
          <w:spacing w:val="1"/>
          <w:sz w:val="24"/>
          <w:szCs w:val="24"/>
          <w:lang w:eastAsia="ru-RU"/>
        </w:rPr>
        <w:t>4-я группа</w:t>
      </w:r>
      <w:r w:rsidRPr="00A92AB1">
        <w:rPr>
          <w:rFonts w:ascii="Arial" w:eastAsia="Times New Roman" w:hAnsi="Arial" w:cs="Arial"/>
          <w:color w:val="000000"/>
          <w:spacing w:val="1"/>
          <w:sz w:val="24"/>
          <w:szCs w:val="24"/>
          <w:lang w:eastAsia="ru-RU"/>
        </w:rPr>
        <w:t xml:space="preserve"> - Краснознаменский городской округ, Неманский городской округ, </w:t>
      </w:r>
      <w:proofErr w:type="spellStart"/>
      <w:r w:rsidRPr="00A92AB1">
        <w:rPr>
          <w:rFonts w:ascii="Arial" w:eastAsia="Times New Roman" w:hAnsi="Arial" w:cs="Arial"/>
          <w:color w:val="000000"/>
          <w:spacing w:val="1"/>
          <w:sz w:val="24"/>
          <w:szCs w:val="24"/>
          <w:lang w:eastAsia="ru-RU"/>
        </w:rPr>
        <w:t>Нестеровский</w:t>
      </w:r>
      <w:proofErr w:type="spellEnd"/>
      <w:r w:rsidRPr="00A92AB1">
        <w:rPr>
          <w:rFonts w:ascii="Arial" w:eastAsia="Times New Roman" w:hAnsi="Arial" w:cs="Arial"/>
          <w:color w:val="000000"/>
          <w:spacing w:val="1"/>
          <w:sz w:val="24"/>
          <w:szCs w:val="24"/>
          <w:lang w:eastAsia="ru-RU"/>
        </w:rPr>
        <w:t xml:space="preserve"> городской округ, Озерский городской округ, Правдинский городской округ, </w:t>
      </w:r>
      <w:proofErr w:type="spellStart"/>
      <w:r w:rsidRPr="00A92AB1">
        <w:rPr>
          <w:rFonts w:ascii="Arial" w:eastAsia="Times New Roman" w:hAnsi="Arial" w:cs="Arial"/>
          <w:color w:val="000000"/>
          <w:spacing w:val="1"/>
          <w:sz w:val="24"/>
          <w:szCs w:val="24"/>
          <w:lang w:eastAsia="ru-RU"/>
        </w:rPr>
        <w:t>Славский</w:t>
      </w:r>
      <w:proofErr w:type="spellEnd"/>
      <w:r w:rsidRPr="00A92AB1">
        <w:rPr>
          <w:rFonts w:ascii="Arial" w:eastAsia="Times New Roman" w:hAnsi="Arial" w:cs="Arial"/>
          <w:color w:val="000000"/>
          <w:spacing w:val="1"/>
          <w:sz w:val="24"/>
          <w:szCs w:val="24"/>
          <w:lang w:eastAsia="ru-RU"/>
        </w:rPr>
        <w:t xml:space="preserve"> городской округ.</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lastRenderedPageBreak/>
        <w:t>Соответственно для этих групп установлены коэффициенты, используемые при расчете размера потенциально возможного к получению индивидуальным предпринимателем годового дохода:</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для муниципальных образований 1-ой группы – 1,0,</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для муниципальных образований 2-ой группы – 0,9,</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для муниципальных образований 3-ей группы – 0,7,</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для муниципальных образований 4-ой группы – 0,4.</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Таким образом, предприниматель, например, в Озерске при прочих равных условиях будет платить налог на 60% меньше, чем предприниматель в Калининграде или Светлогорске.</w:t>
      </w:r>
    </w:p>
    <w:p w:rsidR="00A92AB1" w:rsidRPr="00A92AB1" w:rsidRDefault="00A92AB1" w:rsidP="00A92AB1">
      <w:pPr>
        <w:shd w:val="clear" w:color="auto" w:fill="FFFFFF"/>
        <w:spacing w:before="225" w:after="225" w:line="480" w:lineRule="atLeast"/>
        <w:outlineLvl w:val="2"/>
        <w:rPr>
          <w:rFonts w:ascii="Arial" w:eastAsia="Times New Roman" w:hAnsi="Arial" w:cs="Arial"/>
          <w:b/>
          <w:bCs/>
          <w:color w:val="000000"/>
          <w:spacing w:val="1"/>
          <w:sz w:val="33"/>
          <w:szCs w:val="33"/>
          <w:lang w:eastAsia="ru-RU"/>
        </w:rPr>
      </w:pPr>
      <w:r w:rsidRPr="00A92AB1">
        <w:rPr>
          <w:rFonts w:ascii="Arial" w:eastAsia="Times New Roman" w:hAnsi="Arial" w:cs="Arial"/>
          <w:b/>
          <w:bCs/>
          <w:color w:val="000000"/>
          <w:spacing w:val="1"/>
          <w:sz w:val="33"/>
          <w:szCs w:val="33"/>
          <w:lang w:eastAsia="ru-RU"/>
        </w:rPr>
        <w:t>Ограничения по количеству торговых точек</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Новая редакция Закона вводит также ограничения по количеству объектов стационарной торговой сети и общественного питания – патент можно будет применять при их количестве до 10 объектов включительно, как для розницы, так и для общепита.</w:t>
      </w:r>
    </w:p>
    <w:p w:rsidR="00A92AB1" w:rsidRPr="00A92AB1" w:rsidRDefault="00A92AB1" w:rsidP="00A92AB1">
      <w:pPr>
        <w:shd w:val="clear" w:color="auto" w:fill="FFFFFF"/>
        <w:spacing w:before="225" w:after="225" w:line="480" w:lineRule="atLeast"/>
        <w:outlineLvl w:val="2"/>
        <w:rPr>
          <w:rFonts w:ascii="Arial" w:eastAsia="Times New Roman" w:hAnsi="Arial" w:cs="Arial"/>
          <w:b/>
          <w:bCs/>
          <w:color w:val="000000"/>
          <w:spacing w:val="1"/>
          <w:sz w:val="33"/>
          <w:szCs w:val="33"/>
          <w:lang w:eastAsia="ru-RU"/>
        </w:rPr>
      </w:pPr>
      <w:r w:rsidRPr="00A92AB1">
        <w:rPr>
          <w:rFonts w:ascii="Arial" w:eastAsia="Times New Roman" w:hAnsi="Arial" w:cs="Arial"/>
          <w:b/>
          <w:bCs/>
          <w:color w:val="000000"/>
          <w:spacing w:val="1"/>
          <w:sz w:val="33"/>
          <w:szCs w:val="33"/>
          <w:lang w:eastAsia="ru-RU"/>
        </w:rPr>
        <w:t>Изменения в порядке расчета налога при патенте</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Главное изменение в порядке определения размера потенциально возможного к получению индивидуальным предпринимателем годового дохода (ПВД) - установление физического показателя для каждого вида предпринимательской деятельности. Это нововведение позволяет более точно и справедливо рассчитать стоимость патента.</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Физические показатели </w:t>
      </w:r>
      <w:proofErr w:type="gramStart"/>
      <w:r w:rsidRPr="00A92AB1">
        <w:rPr>
          <w:rFonts w:ascii="Arial" w:eastAsia="Times New Roman" w:hAnsi="Arial" w:cs="Arial"/>
          <w:color w:val="000000"/>
          <w:spacing w:val="1"/>
          <w:sz w:val="24"/>
          <w:szCs w:val="24"/>
          <w:lang w:eastAsia="ru-RU"/>
        </w:rPr>
        <w:t>установлены</w:t>
      </w:r>
      <w:proofErr w:type="gramEnd"/>
      <w:r w:rsidRPr="00A92AB1">
        <w:rPr>
          <w:rFonts w:ascii="Arial" w:eastAsia="Times New Roman" w:hAnsi="Arial" w:cs="Arial"/>
          <w:color w:val="000000"/>
          <w:spacing w:val="1"/>
          <w:sz w:val="24"/>
          <w:szCs w:val="24"/>
          <w:lang w:eastAsia="ru-RU"/>
        </w:rPr>
        <w:t xml:space="preserve"> как и в ЕНВД. Это могут быть: </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единица автотранспортного средства - для услуг по перевозке грузов и пассажиров</w:t>
      </w:r>
    </w:p>
    <w:p w:rsidR="00A92AB1" w:rsidRPr="00A92AB1" w:rsidRDefault="00A92AB1" w:rsidP="00A92AB1">
      <w:pPr>
        <w:numPr>
          <w:ilvl w:val="0"/>
          <w:numId w:val="1"/>
        </w:numPr>
        <w:shd w:val="clear" w:color="auto" w:fill="FFFFFF"/>
        <w:spacing w:before="100" w:beforeAutospacing="1" w:after="300"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1 квадратный метр площади сдаваемого в аренду (наем) собственного или арендованного жилого или нежилого помещения, земельного участка</w:t>
      </w:r>
    </w:p>
    <w:p w:rsidR="00A92AB1" w:rsidRPr="00A92AB1" w:rsidRDefault="00A92AB1" w:rsidP="00A92AB1">
      <w:pPr>
        <w:numPr>
          <w:ilvl w:val="0"/>
          <w:numId w:val="1"/>
        </w:numPr>
        <w:shd w:val="clear" w:color="auto" w:fill="FFFFFF"/>
        <w:spacing w:before="100" w:beforeAutospacing="1" w:after="300"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1 квадратный метр площади объекта - для розницы и общепита</w:t>
      </w:r>
    </w:p>
    <w:p w:rsidR="00A92AB1" w:rsidRPr="00A92AB1" w:rsidRDefault="00A92AB1" w:rsidP="00A92AB1">
      <w:pPr>
        <w:numPr>
          <w:ilvl w:val="0"/>
          <w:numId w:val="1"/>
        </w:numPr>
        <w:shd w:val="clear" w:color="auto" w:fill="FFFFFF"/>
        <w:spacing w:before="100" w:beforeAutospacing="1" w:after="300"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1 квадратный метр площади стоянки для транспортных средств</w:t>
      </w:r>
    </w:p>
    <w:p w:rsidR="00A92AB1" w:rsidRPr="00A92AB1" w:rsidRDefault="00A92AB1" w:rsidP="00A92AB1">
      <w:pPr>
        <w:numPr>
          <w:ilvl w:val="0"/>
          <w:numId w:val="1"/>
        </w:numPr>
        <w:shd w:val="clear" w:color="auto" w:fill="FFFFFF"/>
        <w:spacing w:before="100" w:beforeAutospacing="1" w:after="0"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1 квадратный метр помещения для временного размещения и проживания</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для остальных видов деятельности - единица средней численности наемных работников. В этом случае ПВД устанавливается для самого индивидуального предпринимателя, и дополнительно  на единицу физического показателя.</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В 2021 году размер ПВД будет корректироваться на коэффициент-дефлятор в размере 1,637 и уменьшающего коэффициента 0,7. То есть фактически ПВД, </w:t>
      </w:r>
      <w:r w:rsidRPr="00A92AB1">
        <w:rPr>
          <w:rFonts w:ascii="Arial" w:eastAsia="Times New Roman" w:hAnsi="Arial" w:cs="Arial"/>
          <w:color w:val="000000"/>
          <w:spacing w:val="1"/>
          <w:sz w:val="24"/>
          <w:szCs w:val="24"/>
          <w:lang w:eastAsia="ru-RU"/>
        </w:rPr>
        <w:lastRenderedPageBreak/>
        <w:t xml:space="preserve">установленный в Законе о ПСН, будет увеличен в 2021 году в 1,1459. </w:t>
      </w:r>
      <w:proofErr w:type="gramStart"/>
      <w:r w:rsidRPr="00A92AB1">
        <w:rPr>
          <w:rFonts w:ascii="Arial" w:eastAsia="Times New Roman" w:hAnsi="Arial" w:cs="Arial"/>
          <w:color w:val="000000"/>
          <w:spacing w:val="1"/>
          <w:sz w:val="24"/>
          <w:szCs w:val="24"/>
          <w:lang w:eastAsia="ru-RU"/>
        </w:rPr>
        <w:t>Например, для индивидуального предпринимателя, оказывающего парикмахерские услуги без наемных работников,  Законом установлен ПВД в размере 525 000 руб. в год.</w:t>
      </w:r>
      <w:proofErr w:type="gramEnd"/>
      <w:r w:rsidRPr="00A92AB1">
        <w:rPr>
          <w:rFonts w:ascii="Arial" w:eastAsia="Times New Roman" w:hAnsi="Arial" w:cs="Arial"/>
          <w:color w:val="000000"/>
          <w:spacing w:val="1"/>
          <w:sz w:val="24"/>
          <w:szCs w:val="24"/>
          <w:lang w:eastAsia="ru-RU"/>
        </w:rPr>
        <w:t xml:space="preserve"> Фактически для расчета налога будет браться сумма в размере: 601 597,50 руб. (525 000 * 1,1459).</w:t>
      </w:r>
    </w:p>
    <w:p w:rsidR="00A92AB1" w:rsidRPr="00A92AB1" w:rsidRDefault="00A92AB1" w:rsidP="00A92AB1">
      <w:pPr>
        <w:shd w:val="clear" w:color="auto" w:fill="FFFFFF"/>
        <w:spacing w:before="225" w:after="225" w:line="480" w:lineRule="atLeast"/>
        <w:outlineLvl w:val="2"/>
        <w:rPr>
          <w:rFonts w:ascii="Arial" w:eastAsia="Times New Roman" w:hAnsi="Arial" w:cs="Arial"/>
          <w:b/>
          <w:bCs/>
          <w:color w:val="000000"/>
          <w:spacing w:val="1"/>
          <w:sz w:val="33"/>
          <w:szCs w:val="33"/>
          <w:lang w:eastAsia="ru-RU"/>
        </w:rPr>
      </w:pPr>
      <w:r w:rsidRPr="00A92AB1">
        <w:rPr>
          <w:rFonts w:ascii="Arial" w:eastAsia="Times New Roman" w:hAnsi="Arial" w:cs="Arial"/>
          <w:b/>
          <w:bCs/>
          <w:color w:val="000000"/>
          <w:spacing w:val="1"/>
          <w:sz w:val="33"/>
          <w:szCs w:val="33"/>
          <w:lang w:eastAsia="ru-RU"/>
        </w:rPr>
        <w:t>Как будет определяться стоимость патента при привлечении наемных работников</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При привлечении наемных работников (кроме торговли, общепита, перевозок, автостоянок, сдачи имущества в аренду и для гостиниц), размер ПВД на индивидуального предпринимателя будет дополнительно увеличиваться на размер ПВД на каждую единицу средней численности наемных работников. Доплата за работников установлена для каждого вида деятельности. Но самое главное - это не будет простое увеличение ПВД в 2 или более раза, в зависимости от количества сотрудников. За каждого работника для большинства видов деятельности - это увеличение составит от 50 000 до 70 000 руб. Но есть виды деятельности, где размер этого показателя составляет 200 000 руб. Это автосервисы, медицинская деятельность, похоронные и обрядовые услуги.</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Рассмотрим опять парикмахерские услуги. </w:t>
      </w:r>
      <w:proofErr w:type="gramStart"/>
      <w:r w:rsidRPr="00A92AB1">
        <w:rPr>
          <w:rFonts w:ascii="Arial" w:eastAsia="Times New Roman" w:hAnsi="Arial" w:cs="Arial"/>
          <w:color w:val="000000"/>
          <w:spacing w:val="1"/>
          <w:sz w:val="24"/>
          <w:szCs w:val="24"/>
          <w:lang w:eastAsia="ru-RU"/>
        </w:rPr>
        <w:t>Основной ПВД 525 000 руб. в год увеличивается на каждого работника на 70 000 руб. Если у ИП будет 2 работника, ПВД составит 665 000 руб., а с учетом коэффициент-дефлятора 762 023,50 руб. Ставка налога сохранена в размере 6%. Соответственно сумма налога на год составит 45 721 руб. Или 3810 руб. в месяц.</w:t>
      </w:r>
      <w:proofErr w:type="gramEnd"/>
      <w:r w:rsidRPr="00A92AB1">
        <w:rPr>
          <w:rFonts w:ascii="Arial" w:eastAsia="Times New Roman" w:hAnsi="Arial" w:cs="Arial"/>
          <w:color w:val="000000"/>
          <w:spacing w:val="1"/>
          <w:sz w:val="24"/>
          <w:szCs w:val="24"/>
          <w:lang w:eastAsia="ru-RU"/>
        </w:rPr>
        <w:t xml:space="preserve"> Если ИП еще своевременно уплатит страховые взносы за работников и за себя, сумма налога составит 1905 руб. в месяц или 22 861 руб. в год.</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Заказать бесплатный расчет стоимости патента для вашего бизнеса вы </w:t>
      </w:r>
      <w:proofErr w:type="gramStart"/>
      <w:r w:rsidRPr="00A92AB1">
        <w:rPr>
          <w:rFonts w:ascii="Arial" w:eastAsia="Times New Roman" w:hAnsi="Arial" w:cs="Arial"/>
          <w:color w:val="000000"/>
          <w:spacing w:val="1"/>
          <w:sz w:val="24"/>
          <w:szCs w:val="24"/>
          <w:lang w:eastAsia="ru-RU"/>
        </w:rPr>
        <w:t>можете</w:t>
      </w:r>
      <w:proofErr w:type="gramEnd"/>
      <w:r w:rsidRPr="00A92AB1">
        <w:rPr>
          <w:rFonts w:ascii="Arial" w:eastAsia="Times New Roman" w:hAnsi="Arial" w:cs="Arial"/>
          <w:color w:val="000000"/>
          <w:spacing w:val="1"/>
          <w:sz w:val="24"/>
          <w:szCs w:val="24"/>
          <w:lang w:eastAsia="ru-RU"/>
        </w:rPr>
        <w:t xml:space="preserve"> пройдя по </w:t>
      </w:r>
      <w:hyperlink r:id="rId6" w:tgtFrame="_blank" w:history="1">
        <w:r w:rsidRPr="00A92AB1">
          <w:rPr>
            <w:rFonts w:ascii="Arial" w:eastAsia="Times New Roman" w:hAnsi="Arial" w:cs="Arial"/>
            <w:color w:val="61B6D0"/>
            <w:spacing w:val="1"/>
            <w:sz w:val="24"/>
            <w:szCs w:val="24"/>
            <w:u w:val="single"/>
            <w:lang w:eastAsia="ru-RU"/>
          </w:rPr>
          <w:t>ссылке</w:t>
        </w:r>
      </w:hyperlink>
      <w:r w:rsidRPr="00A92AB1">
        <w:rPr>
          <w:rFonts w:ascii="Arial" w:eastAsia="Times New Roman" w:hAnsi="Arial" w:cs="Arial"/>
          <w:color w:val="000000"/>
          <w:spacing w:val="1"/>
          <w:sz w:val="24"/>
          <w:szCs w:val="24"/>
          <w:lang w:eastAsia="ru-RU"/>
        </w:rPr>
        <w:t>.</w:t>
      </w:r>
    </w:p>
    <w:p w:rsidR="00A92AB1" w:rsidRPr="00A92AB1" w:rsidRDefault="00A92AB1" w:rsidP="00A92AB1">
      <w:pPr>
        <w:shd w:val="clear" w:color="auto" w:fill="FFFFFF"/>
        <w:spacing w:before="225" w:after="225" w:line="480" w:lineRule="atLeast"/>
        <w:outlineLvl w:val="2"/>
        <w:rPr>
          <w:rFonts w:ascii="Arial" w:eastAsia="Times New Roman" w:hAnsi="Arial" w:cs="Arial"/>
          <w:b/>
          <w:bCs/>
          <w:color w:val="000000"/>
          <w:spacing w:val="1"/>
          <w:sz w:val="33"/>
          <w:szCs w:val="33"/>
          <w:lang w:eastAsia="ru-RU"/>
        </w:rPr>
      </w:pPr>
      <w:r w:rsidRPr="00A92AB1">
        <w:rPr>
          <w:rFonts w:ascii="Arial" w:eastAsia="Times New Roman" w:hAnsi="Arial" w:cs="Arial"/>
          <w:b/>
          <w:bCs/>
          <w:color w:val="000000"/>
          <w:spacing w:val="1"/>
          <w:sz w:val="33"/>
          <w:szCs w:val="33"/>
          <w:lang w:eastAsia="ru-RU"/>
        </w:rPr>
        <w:t>Патент для торговли и общепит</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Если в действующем до 31.12.2020г. Законе о ПСН налог рассчитывался за торговую точку вне зависимости от ее площади, то с 01.01.2021г. налог рассчитывается в зависимости от площади объекта. </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Напоминаем, что в  НК РФ с 1 января 2021 года установлены ограничения по площади торгового зала для розничной торговли и общепита для возможности применения ПСН - не более 150 </w:t>
      </w:r>
      <w:proofErr w:type="spellStart"/>
      <w:r w:rsidRPr="00A92AB1">
        <w:rPr>
          <w:rFonts w:ascii="Arial" w:eastAsia="Times New Roman" w:hAnsi="Arial" w:cs="Arial"/>
          <w:color w:val="000000"/>
          <w:spacing w:val="1"/>
          <w:sz w:val="24"/>
          <w:szCs w:val="24"/>
          <w:lang w:eastAsia="ru-RU"/>
        </w:rPr>
        <w:t>кв</w:t>
      </w:r>
      <w:proofErr w:type="gramStart"/>
      <w:r w:rsidRPr="00A92AB1">
        <w:rPr>
          <w:rFonts w:ascii="Arial" w:eastAsia="Times New Roman" w:hAnsi="Arial" w:cs="Arial"/>
          <w:color w:val="000000"/>
          <w:spacing w:val="1"/>
          <w:sz w:val="24"/>
          <w:szCs w:val="24"/>
          <w:lang w:eastAsia="ru-RU"/>
        </w:rPr>
        <w:t>.м</w:t>
      </w:r>
      <w:proofErr w:type="spellEnd"/>
      <w:proofErr w:type="gramEnd"/>
      <w:r w:rsidRPr="00A92AB1">
        <w:rPr>
          <w:rFonts w:ascii="Arial" w:eastAsia="Times New Roman" w:hAnsi="Arial" w:cs="Arial"/>
          <w:color w:val="000000"/>
          <w:spacing w:val="1"/>
          <w:sz w:val="24"/>
          <w:szCs w:val="24"/>
          <w:lang w:eastAsia="ru-RU"/>
        </w:rPr>
        <w:t xml:space="preserve"> по каждому объекту.</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Не обошлось, правда, без ложки дегтя у наших калининградских законодателей. Если Налоговый кодекс позволяет для расчета патента использовать площадь торгового зала (для розницы) или зала обслуживания посетителей (для общепита), Калининградская Дума для расчета налога закрепила в Законе площадь объекта для розницы и общепита. То есть, налог надо будет платить и с подсобных помещений, туалета и других вспомогательных площадей, если они входят в площадь объекта торговли.</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lastRenderedPageBreak/>
        <w:t>Размер ПВД для объектов стационарной торговой сети, имеющие торговые залы в 2021 году 50 000 руб. за 1 квадратный метр площади объекта.</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Размер ПВД для услуг общественного питания - 30 000 руб. за 1 квадратный метр площади объекта.</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Формула расчета базовой доходности - ПВД для каждого объекта торговли и общепита за год:</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ПВД об = ФП х ПВД </w:t>
      </w:r>
      <w:proofErr w:type="spellStart"/>
      <w:proofErr w:type="gramStart"/>
      <w:r w:rsidRPr="00A92AB1">
        <w:rPr>
          <w:rFonts w:ascii="Arial" w:eastAsia="Times New Roman" w:hAnsi="Arial" w:cs="Arial"/>
          <w:color w:val="000000"/>
          <w:spacing w:val="1"/>
          <w:sz w:val="24"/>
          <w:szCs w:val="24"/>
          <w:lang w:eastAsia="ru-RU"/>
        </w:rPr>
        <w:t>ед</w:t>
      </w:r>
      <w:proofErr w:type="spellEnd"/>
      <w:proofErr w:type="gramEnd"/>
      <w:r w:rsidRPr="00A92AB1">
        <w:rPr>
          <w:rFonts w:ascii="Arial" w:eastAsia="Times New Roman" w:hAnsi="Arial" w:cs="Arial"/>
          <w:color w:val="000000"/>
          <w:spacing w:val="1"/>
          <w:sz w:val="24"/>
          <w:szCs w:val="24"/>
          <w:lang w:eastAsia="ru-RU"/>
        </w:rPr>
        <w:t xml:space="preserve"> х K,  где:</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ФП - физический показатель - кол-во квадратных метров площади объекта</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ПВД </w:t>
      </w:r>
      <w:proofErr w:type="spellStart"/>
      <w:proofErr w:type="gramStart"/>
      <w:r w:rsidRPr="00A92AB1">
        <w:rPr>
          <w:rFonts w:ascii="Arial" w:eastAsia="Times New Roman" w:hAnsi="Arial" w:cs="Arial"/>
          <w:color w:val="000000"/>
          <w:spacing w:val="1"/>
          <w:sz w:val="24"/>
          <w:szCs w:val="24"/>
          <w:lang w:eastAsia="ru-RU"/>
        </w:rPr>
        <w:t>ед</w:t>
      </w:r>
      <w:proofErr w:type="spellEnd"/>
      <w:proofErr w:type="gramEnd"/>
      <w:r w:rsidRPr="00A92AB1">
        <w:rPr>
          <w:rFonts w:ascii="Arial" w:eastAsia="Times New Roman" w:hAnsi="Arial" w:cs="Arial"/>
          <w:color w:val="000000"/>
          <w:spacing w:val="1"/>
          <w:sz w:val="24"/>
          <w:szCs w:val="24"/>
          <w:lang w:eastAsia="ru-RU"/>
        </w:rPr>
        <w:t xml:space="preserve"> - размер ПВД на единицу физического показателя</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roofErr w:type="gramStart"/>
      <w:r w:rsidRPr="00A92AB1">
        <w:rPr>
          <w:rFonts w:ascii="Arial" w:eastAsia="Times New Roman" w:hAnsi="Arial" w:cs="Arial"/>
          <w:color w:val="000000"/>
          <w:spacing w:val="1"/>
          <w:sz w:val="24"/>
          <w:szCs w:val="24"/>
          <w:lang w:eastAsia="ru-RU"/>
        </w:rPr>
        <w:t>К</w:t>
      </w:r>
      <w:proofErr w:type="gramEnd"/>
      <w:r w:rsidRPr="00A92AB1">
        <w:rPr>
          <w:rFonts w:ascii="Arial" w:eastAsia="Times New Roman" w:hAnsi="Arial" w:cs="Arial"/>
          <w:color w:val="000000"/>
          <w:spacing w:val="1"/>
          <w:sz w:val="24"/>
          <w:szCs w:val="24"/>
          <w:lang w:eastAsia="ru-RU"/>
        </w:rPr>
        <w:t xml:space="preserve"> - коэффициент-дефлятор, на 2021 год он составляет 1,1459</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Произведем расчет стоимости патента для следующих исходных данных: магазин площадью 25 </w:t>
      </w:r>
      <w:proofErr w:type="spellStart"/>
      <w:r w:rsidRPr="00A92AB1">
        <w:rPr>
          <w:rFonts w:ascii="Arial" w:eastAsia="Times New Roman" w:hAnsi="Arial" w:cs="Arial"/>
          <w:color w:val="000000"/>
          <w:spacing w:val="1"/>
          <w:sz w:val="24"/>
          <w:szCs w:val="24"/>
          <w:lang w:eastAsia="ru-RU"/>
        </w:rPr>
        <w:t>кв</w:t>
      </w:r>
      <w:proofErr w:type="gramStart"/>
      <w:r w:rsidRPr="00A92AB1">
        <w:rPr>
          <w:rFonts w:ascii="Arial" w:eastAsia="Times New Roman" w:hAnsi="Arial" w:cs="Arial"/>
          <w:color w:val="000000"/>
          <w:spacing w:val="1"/>
          <w:sz w:val="24"/>
          <w:szCs w:val="24"/>
          <w:lang w:eastAsia="ru-RU"/>
        </w:rPr>
        <w:t>.м</w:t>
      </w:r>
      <w:proofErr w:type="spellEnd"/>
      <w:proofErr w:type="gramEnd"/>
      <w:r w:rsidRPr="00A92AB1">
        <w:rPr>
          <w:rFonts w:ascii="Arial" w:eastAsia="Times New Roman" w:hAnsi="Arial" w:cs="Arial"/>
          <w:color w:val="000000"/>
          <w:spacing w:val="1"/>
          <w:sz w:val="24"/>
          <w:szCs w:val="24"/>
          <w:lang w:eastAsia="ru-RU"/>
        </w:rPr>
        <w:t>, находится в г. Калининград.  </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ПВД об= 25 х 50 000 х 1,1459 = 1 432 375 руб.</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Ставка налога - 6%.</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Стоимость патента для указанной точки составит:</w:t>
      </w:r>
    </w:p>
    <w:p w:rsidR="00A92AB1" w:rsidRPr="00A92AB1" w:rsidRDefault="00A92AB1" w:rsidP="00A92AB1">
      <w:pPr>
        <w:numPr>
          <w:ilvl w:val="0"/>
          <w:numId w:val="2"/>
        </w:numPr>
        <w:shd w:val="clear" w:color="auto" w:fill="FFFFFF"/>
        <w:spacing w:before="100" w:beforeAutospacing="1" w:after="300"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на год - 85 943 руб.</w:t>
      </w:r>
    </w:p>
    <w:p w:rsidR="00A92AB1" w:rsidRPr="00A92AB1" w:rsidRDefault="00A92AB1" w:rsidP="00A92AB1">
      <w:pPr>
        <w:numPr>
          <w:ilvl w:val="0"/>
          <w:numId w:val="2"/>
        </w:numPr>
        <w:shd w:val="clear" w:color="auto" w:fill="FFFFFF"/>
        <w:spacing w:before="100" w:beforeAutospacing="1" w:after="0"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на месяц - 7162 руб.</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Также у ИП с 01.01.2021г. есть право на уменьшение стоимости патента на сумму уплаченных в период применения патента страховых взносов. Это право закреплено теперь в Налоговом кодексе и действует с 01.01.2021г.  </w:t>
      </w:r>
    </w:p>
    <w:p w:rsidR="00A92AB1" w:rsidRPr="00A92AB1" w:rsidRDefault="00A92AB1" w:rsidP="00A92AB1">
      <w:pPr>
        <w:shd w:val="clear" w:color="auto" w:fill="FFFFFF"/>
        <w:spacing w:before="225" w:after="225" w:line="480" w:lineRule="atLeast"/>
        <w:outlineLvl w:val="2"/>
        <w:rPr>
          <w:rFonts w:ascii="Arial" w:eastAsia="Times New Roman" w:hAnsi="Arial" w:cs="Arial"/>
          <w:b/>
          <w:bCs/>
          <w:color w:val="000000"/>
          <w:spacing w:val="1"/>
          <w:sz w:val="33"/>
          <w:szCs w:val="33"/>
          <w:lang w:eastAsia="ru-RU"/>
        </w:rPr>
      </w:pPr>
      <w:r w:rsidRPr="00A92AB1">
        <w:rPr>
          <w:rFonts w:ascii="Arial" w:eastAsia="Times New Roman" w:hAnsi="Arial" w:cs="Arial"/>
          <w:b/>
          <w:bCs/>
          <w:color w:val="000000"/>
          <w:spacing w:val="1"/>
          <w:sz w:val="33"/>
          <w:szCs w:val="33"/>
          <w:lang w:eastAsia="ru-RU"/>
        </w:rPr>
        <w:t>Грузовые и пассажирские перевозки</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 xml:space="preserve">Для предпринимателей в сфере оказания автотранспортных услуг по перевозке грузов и пассажиров патентный налог будет рассчитываться за каждую единицу автотранспортного средства. Размер годовой базовой доходности на одно </w:t>
      </w:r>
      <w:proofErr w:type="spellStart"/>
      <w:r w:rsidRPr="00A92AB1">
        <w:rPr>
          <w:rFonts w:ascii="Arial" w:eastAsia="Times New Roman" w:hAnsi="Arial" w:cs="Arial"/>
          <w:color w:val="000000"/>
          <w:spacing w:val="1"/>
          <w:sz w:val="24"/>
          <w:szCs w:val="24"/>
          <w:lang w:eastAsia="ru-RU"/>
        </w:rPr>
        <w:t>автосредство</w:t>
      </w:r>
      <w:proofErr w:type="spellEnd"/>
      <w:r w:rsidRPr="00A92AB1">
        <w:rPr>
          <w:rFonts w:ascii="Arial" w:eastAsia="Times New Roman" w:hAnsi="Arial" w:cs="Arial"/>
          <w:color w:val="000000"/>
          <w:spacing w:val="1"/>
          <w:sz w:val="24"/>
          <w:szCs w:val="24"/>
          <w:lang w:eastAsia="ru-RU"/>
        </w:rPr>
        <w:t xml:space="preserve"> установлен в сумме 250 000 руб.</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То есть с каждого автотранспортного средства ИП будет платить:</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в год - 250 000 х 1,1459 х 6% = 17 189 руб.</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в месяц - 1 432 руб.</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t>Напоминаем, что понижающие коэффициенты, установленные настоящим Законом при дифференциации муниципалитетов области, не применяются в отношении услуг по перевозке грузов и пассажиров, а также для разносной торговли.</w:t>
      </w:r>
    </w:p>
    <w:p w:rsidR="00A92AB1" w:rsidRPr="00A92AB1" w:rsidRDefault="00A92AB1" w:rsidP="00A92AB1">
      <w:pPr>
        <w:shd w:val="clear" w:color="auto" w:fill="FFFFFF"/>
        <w:spacing w:before="225" w:after="225" w:line="240" w:lineRule="auto"/>
        <w:rPr>
          <w:rFonts w:ascii="Arial" w:eastAsia="Times New Roman" w:hAnsi="Arial" w:cs="Arial"/>
          <w:color w:val="000000"/>
          <w:spacing w:val="1"/>
          <w:sz w:val="24"/>
          <w:szCs w:val="24"/>
          <w:lang w:eastAsia="ru-RU"/>
        </w:rPr>
      </w:pPr>
      <w:r w:rsidRPr="00A92AB1">
        <w:rPr>
          <w:rFonts w:ascii="Arial" w:eastAsia="Times New Roman" w:hAnsi="Arial" w:cs="Arial"/>
          <w:color w:val="000000"/>
          <w:spacing w:val="1"/>
          <w:sz w:val="24"/>
          <w:szCs w:val="24"/>
          <w:lang w:eastAsia="ru-RU"/>
        </w:rPr>
        <w:lastRenderedPageBreak/>
        <w:t xml:space="preserve">То есть стоимость патента даже ниже, чем и при применении ЕНВД. Грузоперевозкам и пассажирским перевозкам в </w:t>
      </w:r>
      <w:proofErr w:type="spellStart"/>
      <w:r w:rsidRPr="00A92AB1">
        <w:rPr>
          <w:rFonts w:ascii="Arial" w:eastAsia="Times New Roman" w:hAnsi="Arial" w:cs="Arial"/>
          <w:color w:val="000000"/>
          <w:spacing w:val="1"/>
          <w:sz w:val="24"/>
          <w:szCs w:val="24"/>
          <w:lang w:eastAsia="ru-RU"/>
        </w:rPr>
        <w:t>Калиниградской</w:t>
      </w:r>
      <w:proofErr w:type="spellEnd"/>
      <w:r w:rsidRPr="00A92AB1">
        <w:rPr>
          <w:rFonts w:ascii="Arial" w:eastAsia="Times New Roman" w:hAnsi="Arial" w:cs="Arial"/>
          <w:color w:val="000000"/>
          <w:spacing w:val="1"/>
          <w:sz w:val="24"/>
          <w:szCs w:val="24"/>
          <w:lang w:eastAsia="ru-RU"/>
        </w:rPr>
        <w:t xml:space="preserve"> области однозначно выгоден переход с ЕНВД на патент. </w:t>
      </w:r>
    </w:p>
    <w:p w:rsidR="0092636E" w:rsidRDefault="0092636E">
      <w:bookmarkStart w:id="0" w:name="_GoBack"/>
      <w:bookmarkEnd w:id="0"/>
    </w:p>
    <w:sectPr w:rsidR="00926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1249"/>
    <w:multiLevelType w:val="multilevel"/>
    <w:tmpl w:val="433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F4F51"/>
    <w:multiLevelType w:val="multilevel"/>
    <w:tmpl w:val="3CA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63"/>
    <w:rsid w:val="002B1515"/>
    <w:rsid w:val="0092636E"/>
    <w:rsid w:val="00A92AB1"/>
    <w:rsid w:val="00CD2D63"/>
    <w:rsid w:val="00D4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699">
      <w:bodyDiv w:val="1"/>
      <w:marLeft w:val="0"/>
      <w:marRight w:val="0"/>
      <w:marTop w:val="0"/>
      <w:marBottom w:val="0"/>
      <w:divBdr>
        <w:top w:val="none" w:sz="0" w:space="0" w:color="auto"/>
        <w:left w:val="none" w:sz="0" w:space="0" w:color="auto"/>
        <w:bottom w:val="none" w:sz="0" w:space="0" w:color="auto"/>
        <w:right w:val="none" w:sz="0" w:space="0" w:color="auto"/>
      </w:divBdr>
      <w:divsChild>
        <w:div w:id="777526154">
          <w:marLeft w:val="0"/>
          <w:marRight w:val="0"/>
          <w:marTop w:val="0"/>
          <w:marBottom w:val="0"/>
          <w:divBdr>
            <w:top w:val="none" w:sz="0" w:space="0" w:color="auto"/>
            <w:left w:val="none" w:sz="0" w:space="0" w:color="auto"/>
            <w:bottom w:val="none" w:sz="0" w:space="0" w:color="auto"/>
            <w:right w:val="none" w:sz="0" w:space="0" w:color="auto"/>
          </w:divBdr>
          <w:divsChild>
            <w:div w:id="1742017225">
              <w:marLeft w:val="0"/>
              <w:marRight w:val="0"/>
              <w:marTop w:val="0"/>
              <w:marBottom w:val="0"/>
              <w:divBdr>
                <w:top w:val="none" w:sz="0" w:space="0" w:color="auto"/>
                <w:left w:val="none" w:sz="0" w:space="0" w:color="auto"/>
                <w:bottom w:val="none" w:sz="0" w:space="0" w:color="auto"/>
                <w:right w:val="none" w:sz="0" w:space="0" w:color="auto"/>
              </w:divBdr>
            </w:div>
          </w:divsChild>
        </w:div>
        <w:div w:id="344989253">
          <w:marLeft w:val="0"/>
          <w:marRight w:val="0"/>
          <w:marTop w:val="435"/>
          <w:marBottom w:val="0"/>
          <w:divBdr>
            <w:top w:val="none" w:sz="0" w:space="0" w:color="auto"/>
            <w:left w:val="none" w:sz="0" w:space="0" w:color="auto"/>
            <w:bottom w:val="none" w:sz="0" w:space="0" w:color="auto"/>
            <w:right w:val="none" w:sz="0" w:space="0" w:color="auto"/>
          </w:divBdr>
        </w:div>
        <w:div w:id="1692343878">
          <w:marLeft w:val="0"/>
          <w:marRight w:val="0"/>
          <w:marTop w:val="270"/>
          <w:marBottom w:val="0"/>
          <w:divBdr>
            <w:top w:val="none" w:sz="0" w:space="0" w:color="auto"/>
            <w:left w:val="none" w:sz="0" w:space="0" w:color="auto"/>
            <w:bottom w:val="none" w:sz="0" w:space="0" w:color="auto"/>
            <w:right w:val="none" w:sz="0" w:space="0" w:color="auto"/>
          </w:divBdr>
          <w:divsChild>
            <w:div w:id="1193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24.dipbuh.ru/pub/form/93_raschet_nalogovoy_nagruzki_posle_otmeny_envd/fl3kq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7175</Characters>
  <Application>Microsoft Office Word</Application>
  <DocSecurity>0</DocSecurity>
  <Lines>59</Lines>
  <Paragraphs>16</Paragraphs>
  <ScaleCrop>false</ScaleCrop>
  <Company>Krokoz™</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3</cp:revision>
  <dcterms:created xsi:type="dcterms:W3CDTF">2020-11-27T09:08:00Z</dcterms:created>
  <dcterms:modified xsi:type="dcterms:W3CDTF">2020-11-27T09:09:00Z</dcterms:modified>
</cp:coreProperties>
</file>